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7937"/>
      </w:tblGrid>
      <w:tr w:rsidR="003C56CC" w14:paraId="3D22EF51" w14:textId="77777777" w:rsidTr="008F5880">
        <w:tc>
          <w:tcPr>
            <w:tcW w:w="8154" w:type="dxa"/>
            <w:tcBorders>
              <w:top w:val="nil"/>
              <w:left w:val="nil"/>
              <w:bottom w:val="nil"/>
              <w:right w:val="nil"/>
            </w:tcBorders>
          </w:tcPr>
          <w:p w14:paraId="618C131F" w14:textId="77777777" w:rsidR="003C56CC" w:rsidRDefault="003C56CC" w:rsidP="008F5880">
            <w:pPr>
              <w:autoSpaceDE w:val="0"/>
              <w:autoSpaceDN w:val="0"/>
              <w:adjustRightInd w:val="0"/>
              <w:spacing w:line="240" w:lineRule="auto"/>
              <w:jc w:val="center"/>
              <w:rPr>
                <w:rFonts w:ascii="Times New Roman" w:hAnsi="Times New Roman" w:cs="Times New Roman"/>
                <w:b/>
                <w:spacing w:val="-3"/>
                <w:sz w:val="24"/>
                <w:szCs w:val="24"/>
              </w:rPr>
            </w:pPr>
          </w:p>
          <w:p w14:paraId="55C66906" w14:textId="77777777" w:rsidR="003C56CC" w:rsidRPr="000B4487" w:rsidRDefault="003C56CC" w:rsidP="008F5880">
            <w:pPr>
              <w:autoSpaceDE w:val="0"/>
              <w:autoSpaceDN w:val="0"/>
              <w:adjustRightInd w:val="0"/>
              <w:spacing w:after="0" w:line="240" w:lineRule="auto"/>
              <w:jc w:val="center"/>
              <w:rPr>
                <w:rFonts w:ascii="Times New Roman" w:hAnsi="Times New Roman" w:cs="Times New Roman"/>
                <w:b/>
                <w:bCs/>
                <w:spacing w:val="-3"/>
                <w:sz w:val="24"/>
                <w:szCs w:val="24"/>
              </w:rPr>
            </w:pPr>
            <w:r w:rsidRPr="000B4487">
              <w:rPr>
                <w:rFonts w:ascii="Times New Roman" w:hAnsi="Times New Roman" w:cs="Times New Roman"/>
                <w:b/>
                <w:bCs/>
                <w:spacing w:val="-3"/>
                <w:sz w:val="24"/>
                <w:szCs w:val="24"/>
              </w:rPr>
              <w:t>EDUCATION IN PREPAREDNESS FOR VOLCANO DISASTERS THROUGH POCKET</w:t>
            </w:r>
            <w:r>
              <w:rPr>
                <w:rFonts w:ascii="Times New Roman" w:hAnsi="Times New Roman" w:cs="Times New Roman"/>
                <w:b/>
                <w:bCs/>
                <w:spacing w:val="-3"/>
                <w:sz w:val="24"/>
                <w:szCs w:val="24"/>
              </w:rPr>
              <w:t xml:space="preserve"> BOOK</w:t>
            </w:r>
            <w:r w:rsidRPr="000B4487">
              <w:rPr>
                <w:rFonts w:ascii="Times New Roman" w:hAnsi="Times New Roman" w:cs="Times New Roman"/>
                <w:b/>
                <w:bCs/>
                <w:spacing w:val="-3"/>
                <w:sz w:val="24"/>
                <w:szCs w:val="24"/>
              </w:rPr>
              <w:t xml:space="preserve"> MEDIA</w:t>
            </w:r>
          </w:p>
          <w:p w14:paraId="37B7E013" w14:textId="77777777" w:rsidR="003C56CC" w:rsidRDefault="003C56CC" w:rsidP="008F5880">
            <w:pPr>
              <w:autoSpaceDE w:val="0"/>
              <w:autoSpaceDN w:val="0"/>
              <w:adjustRightInd w:val="0"/>
              <w:spacing w:after="0" w:line="240" w:lineRule="auto"/>
              <w:jc w:val="center"/>
              <w:rPr>
                <w:rFonts w:ascii="Times New Roman" w:hAnsi="Times New Roman" w:cs="Times New Roman"/>
                <w:spacing w:val="-3"/>
                <w:sz w:val="24"/>
                <w:szCs w:val="24"/>
              </w:rPr>
            </w:pPr>
            <w:r>
              <w:rPr>
                <w:rFonts w:ascii="Times New Roman" w:hAnsi="Times New Roman" w:cs="Times New Roman"/>
                <w:spacing w:val="-3"/>
                <w:sz w:val="24"/>
                <w:szCs w:val="24"/>
              </w:rPr>
              <w:t xml:space="preserve">Sri </w:t>
            </w:r>
            <w:proofErr w:type="spellStart"/>
            <w:r>
              <w:rPr>
                <w:rFonts w:ascii="Times New Roman" w:hAnsi="Times New Roman" w:cs="Times New Roman"/>
                <w:spacing w:val="-3"/>
                <w:sz w:val="24"/>
                <w:szCs w:val="24"/>
              </w:rPr>
              <w:t>Muryani</w:t>
            </w:r>
            <w:proofErr w:type="spellEnd"/>
          </w:p>
          <w:p w14:paraId="241C0B07" w14:textId="77777777" w:rsidR="003C56CC" w:rsidRDefault="003C56CC" w:rsidP="008F5880">
            <w:pPr>
              <w:autoSpaceDE w:val="0"/>
              <w:autoSpaceDN w:val="0"/>
              <w:adjustRightInd w:val="0"/>
              <w:spacing w:after="0" w:line="240" w:lineRule="auto"/>
              <w:jc w:val="center"/>
              <w:rPr>
                <w:rFonts w:ascii="Times New Roman" w:hAnsi="Times New Roman" w:cs="Times New Roman"/>
                <w:spacing w:val="-3"/>
                <w:sz w:val="24"/>
                <w:szCs w:val="24"/>
              </w:rPr>
            </w:pPr>
            <w:hyperlink r:id="rId6" w:history="1">
              <w:r>
                <w:rPr>
                  <w:rStyle w:val="Hyperlink"/>
                  <w:rFonts w:ascii="Times New Roman" w:hAnsi="Times New Roman" w:cs="Times New Roman"/>
                  <w:spacing w:val="-3"/>
                  <w:sz w:val="24"/>
                  <w:szCs w:val="24"/>
                </w:rPr>
                <w:t>muryanyani@gmail.com</w:t>
              </w:r>
            </w:hyperlink>
            <w:r>
              <w:rPr>
                <w:rFonts w:ascii="Times New Roman" w:hAnsi="Times New Roman" w:cs="Times New Roman"/>
                <w:spacing w:val="-3"/>
                <w:sz w:val="24"/>
                <w:szCs w:val="24"/>
              </w:rPr>
              <w:t xml:space="preserve"> </w:t>
            </w:r>
          </w:p>
          <w:p w14:paraId="62DFC204" w14:textId="77777777" w:rsidR="003C56CC" w:rsidRDefault="003C56CC" w:rsidP="008F5880">
            <w:pPr>
              <w:autoSpaceDE w:val="0"/>
              <w:autoSpaceDN w:val="0"/>
              <w:adjustRightInd w:val="0"/>
              <w:spacing w:after="0" w:line="240" w:lineRule="auto"/>
              <w:jc w:val="center"/>
              <w:rPr>
                <w:rFonts w:ascii="Times New Roman" w:hAnsi="Times New Roman" w:cs="Times New Roman"/>
                <w:spacing w:val="-3"/>
                <w:sz w:val="24"/>
                <w:szCs w:val="24"/>
              </w:rPr>
            </w:pPr>
            <w:r>
              <w:rPr>
                <w:rFonts w:ascii="Times New Roman" w:hAnsi="Times New Roman" w:cs="Times New Roman"/>
                <w:spacing w:val="-3"/>
                <w:sz w:val="24"/>
                <w:szCs w:val="24"/>
              </w:rPr>
              <w:t>Universitas ‘</w:t>
            </w:r>
            <w:proofErr w:type="spellStart"/>
            <w:r>
              <w:rPr>
                <w:rFonts w:ascii="Times New Roman" w:hAnsi="Times New Roman" w:cs="Times New Roman"/>
                <w:spacing w:val="-3"/>
                <w:sz w:val="24"/>
                <w:szCs w:val="24"/>
              </w:rPr>
              <w:t>Aisyiyah</w:t>
            </w:r>
            <w:proofErr w:type="spellEnd"/>
            <w:r>
              <w:rPr>
                <w:rFonts w:ascii="Times New Roman" w:hAnsi="Times New Roman" w:cs="Times New Roman"/>
                <w:spacing w:val="-3"/>
                <w:sz w:val="24"/>
                <w:szCs w:val="24"/>
              </w:rPr>
              <w:t xml:space="preserve"> Surakarta</w:t>
            </w:r>
          </w:p>
        </w:tc>
      </w:tr>
      <w:tr w:rsidR="003C56CC" w:rsidRPr="00925615" w14:paraId="431BEB8B" w14:textId="77777777" w:rsidTr="008F5880">
        <w:tc>
          <w:tcPr>
            <w:tcW w:w="8154" w:type="dxa"/>
            <w:tcBorders>
              <w:top w:val="nil"/>
              <w:left w:val="nil"/>
              <w:bottom w:val="nil"/>
              <w:right w:val="nil"/>
            </w:tcBorders>
          </w:tcPr>
          <w:p w14:paraId="0043C46E" w14:textId="77777777" w:rsidR="003C56CC" w:rsidRDefault="003C56CC" w:rsidP="008F5880">
            <w:pPr>
              <w:autoSpaceDE w:val="0"/>
              <w:autoSpaceDN w:val="0"/>
              <w:adjustRightInd w:val="0"/>
              <w:spacing w:line="240" w:lineRule="auto"/>
              <w:jc w:val="center"/>
              <w:rPr>
                <w:rFonts w:ascii="Times New Roman" w:hAnsi="Times New Roman" w:cs="Times New Roman"/>
                <w:b/>
                <w:spacing w:val="-3"/>
                <w:sz w:val="24"/>
                <w:szCs w:val="24"/>
              </w:rPr>
            </w:pPr>
            <w:r>
              <w:rPr>
                <w:rFonts w:ascii="Times New Roman" w:hAnsi="Times New Roman" w:cs="Times New Roman"/>
                <w:b/>
                <w:spacing w:val="-3"/>
                <w:sz w:val="24"/>
                <w:szCs w:val="24"/>
              </w:rPr>
              <w:t>SUMMARY</w:t>
            </w:r>
          </w:p>
          <w:p w14:paraId="42D366CF" w14:textId="77777777" w:rsidR="003C56CC" w:rsidRPr="00925615" w:rsidRDefault="003C56CC" w:rsidP="008F5880">
            <w:pPr>
              <w:autoSpaceDE w:val="0"/>
              <w:autoSpaceDN w:val="0"/>
              <w:adjustRightInd w:val="0"/>
              <w:spacing w:line="240" w:lineRule="auto"/>
              <w:jc w:val="both"/>
              <w:rPr>
                <w:rFonts w:ascii="Times New Roman" w:hAnsi="Times New Roman" w:cs="Times New Roman"/>
                <w:bCs/>
                <w:iCs/>
                <w:spacing w:val="-3"/>
                <w:sz w:val="24"/>
                <w:szCs w:val="24"/>
              </w:rPr>
            </w:pPr>
            <w:r w:rsidRPr="00925615">
              <w:rPr>
                <w:rFonts w:ascii="Times New Roman" w:hAnsi="Times New Roman" w:cs="Times New Roman"/>
                <w:b/>
                <w:i/>
                <w:spacing w:val="-3"/>
                <w:sz w:val="24"/>
                <w:szCs w:val="24"/>
              </w:rPr>
              <w:t>Back Ground;</w:t>
            </w:r>
            <w:r w:rsidRPr="00925615">
              <w:rPr>
                <w:rFonts w:ascii="Times New Roman" w:hAnsi="Times New Roman" w:cs="Times New Roman"/>
                <w:sz w:val="24"/>
                <w:szCs w:val="24"/>
              </w:rPr>
              <w:t xml:space="preserve"> Volcanic eruptions often occur in the world, there are more than 1,500 active volcanoes in the world spread over 81 countries, and these volcanoes can erupt periodically or continuously. Indonesia is one of the countries with the most volcanic levels in the world. Indonesia has 129 active volcanoes and 500 inactive volcanoes that are scattered throughout Indonesia. Central Java Province is recorded as the province with the highest number of people exposed to hazards due to volcanoes. Preparedness is very important to do with the existence of community preparedness will be more prepared than people who do not know about preparedness. Preparedness is a series of activities carried out to anticipate a disaster through education using a pocket book. </w:t>
            </w:r>
            <w:r w:rsidRPr="00925615">
              <w:rPr>
                <w:rFonts w:ascii="Times New Roman" w:hAnsi="Times New Roman" w:cs="Times New Roman"/>
                <w:b/>
                <w:bCs/>
                <w:i/>
                <w:iCs/>
                <w:sz w:val="24"/>
                <w:szCs w:val="24"/>
              </w:rPr>
              <w:t>Method;</w:t>
            </w:r>
            <w:r w:rsidRPr="00925615">
              <w:rPr>
                <w:rFonts w:ascii="Times New Roman" w:hAnsi="Times New Roman" w:cs="Times New Roman"/>
                <w:sz w:val="24"/>
                <w:szCs w:val="24"/>
              </w:rPr>
              <w:t xml:space="preserve"> The educational media output method used is in the form of a pocket book that contains volcano disaster preparedness. </w:t>
            </w:r>
            <w:r w:rsidRPr="00925615">
              <w:rPr>
                <w:rFonts w:ascii="Times New Roman" w:hAnsi="Times New Roman" w:cs="Times New Roman"/>
                <w:b/>
                <w:bCs/>
                <w:i/>
                <w:iCs/>
                <w:sz w:val="24"/>
                <w:szCs w:val="24"/>
              </w:rPr>
              <w:t>Result;</w:t>
            </w:r>
            <w:r w:rsidRPr="00925615">
              <w:rPr>
                <w:rFonts w:ascii="Times New Roman" w:hAnsi="Times New Roman" w:cs="Times New Roman"/>
                <w:sz w:val="24"/>
                <w:szCs w:val="24"/>
              </w:rPr>
              <w:t xml:space="preserve"> Educational media in the form of pocket books because pocket books contain clear information, are easy to experience and easy to carry anywhere. </w:t>
            </w:r>
            <w:r w:rsidRPr="00925615">
              <w:rPr>
                <w:rFonts w:ascii="Times New Roman" w:hAnsi="Times New Roman" w:cs="Times New Roman"/>
                <w:b/>
                <w:bCs/>
                <w:i/>
                <w:iCs/>
                <w:sz w:val="24"/>
                <w:szCs w:val="24"/>
              </w:rPr>
              <w:t>Conclusion;</w:t>
            </w:r>
            <w:r w:rsidRPr="00925615">
              <w:rPr>
                <w:rFonts w:ascii="Times New Roman" w:hAnsi="Times New Roman" w:cs="Times New Roman"/>
                <w:sz w:val="24"/>
                <w:szCs w:val="24"/>
              </w:rPr>
              <w:t xml:space="preserve"> Pocket book media can provide information to the public, especially those close to volcanoes, about how to prepare for volcanic disasters.</w:t>
            </w:r>
          </w:p>
        </w:tc>
      </w:tr>
      <w:tr w:rsidR="003C56CC" w14:paraId="15DFAD16" w14:textId="77777777" w:rsidTr="008F5880">
        <w:tc>
          <w:tcPr>
            <w:tcW w:w="8154" w:type="dxa"/>
            <w:tcBorders>
              <w:top w:val="nil"/>
              <w:left w:val="nil"/>
              <w:bottom w:val="nil"/>
              <w:right w:val="nil"/>
            </w:tcBorders>
          </w:tcPr>
          <w:p w14:paraId="2127FB48" w14:textId="77777777" w:rsidR="003C56CC" w:rsidRDefault="003C56CC" w:rsidP="008F5880">
            <w:pPr>
              <w:autoSpaceDE w:val="0"/>
              <w:autoSpaceDN w:val="0"/>
              <w:adjustRightInd w:val="0"/>
              <w:spacing w:line="240" w:lineRule="auto"/>
              <w:rPr>
                <w:rFonts w:ascii="Times New Roman" w:hAnsi="Times New Roman" w:cs="Times New Roman"/>
                <w:b/>
                <w:i/>
                <w:spacing w:val="-3"/>
                <w:sz w:val="24"/>
                <w:szCs w:val="24"/>
              </w:rPr>
            </w:pPr>
            <w:r>
              <w:rPr>
                <w:rFonts w:ascii="Times New Roman" w:hAnsi="Times New Roman" w:cs="Times New Roman"/>
                <w:b/>
                <w:spacing w:val="-3"/>
                <w:sz w:val="24"/>
                <w:szCs w:val="24"/>
              </w:rPr>
              <w:t>Keywords;</w:t>
            </w:r>
            <w:r>
              <w:t xml:space="preserve"> </w:t>
            </w:r>
            <w:r w:rsidRPr="000B4487">
              <w:rPr>
                <w:rFonts w:ascii="Times New Roman" w:hAnsi="Times New Roman" w:cs="Times New Roman"/>
                <w:b/>
                <w:i/>
                <w:iCs/>
                <w:spacing w:val="-3"/>
                <w:sz w:val="24"/>
                <w:szCs w:val="24"/>
              </w:rPr>
              <w:t>Preparedness, Disaster, Volcano, Pocket Book.</w:t>
            </w:r>
          </w:p>
        </w:tc>
      </w:tr>
    </w:tbl>
    <w:p w14:paraId="5151CF3D" w14:textId="77777777" w:rsidR="0094387D" w:rsidRDefault="0094387D"/>
    <w:sectPr w:rsidR="0094387D" w:rsidSect="003C56CC">
      <w:footerReference w:type="default" r:id="rId7"/>
      <w:pgSz w:w="11906" w:h="16838" w:code="9"/>
      <w:pgMar w:top="1701" w:right="1701" w:bottom="1701" w:left="2268" w:header="708" w:footer="708" w:gutter="0"/>
      <w:pgNumType w:fmt="lowerRoman" w:start="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B70BC7" w14:textId="77777777" w:rsidR="003C56CC" w:rsidRDefault="003C56CC" w:rsidP="003C56CC">
      <w:pPr>
        <w:spacing w:after="0" w:line="240" w:lineRule="auto"/>
      </w:pPr>
      <w:r>
        <w:separator/>
      </w:r>
    </w:p>
  </w:endnote>
  <w:endnote w:type="continuationSeparator" w:id="0">
    <w:p w14:paraId="6B6BD3BE" w14:textId="77777777" w:rsidR="003C56CC" w:rsidRDefault="003C56CC" w:rsidP="003C5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398088"/>
      <w:docPartObj>
        <w:docPartGallery w:val="Page Numbers (Bottom of Page)"/>
        <w:docPartUnique/>
      </w:docPartObj>
    </w:sdtPr>
    <w:sdtEndPr>
      <w:rPr>
        <w:noProof/>
      </w:rPr>
    </w:sdtEndPr>
    <w:sdtContent>
      <w:p w14:paraId="62C27CDE" w14:textId="7876E4DD" w:rsidR="003C56CC" w:rsidRDefault="003C56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7F8981" w14:textId="77777777" w:rsidR="003C56CC" w:rsidRDefault="003C5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E1DDEC" w14:textId="77777777" w:rsidR="003C56CC" w:rsidRDefault="003C56CC" w:rsidP="003C56CC">
      <w:pPr>
        <w:spacing w:after="0" w:line="240" w:lineRule="auto"/>
      </w:pPr>
      <w:r>
        <w:separator/>
      </w:r>
    </w:p>
  </w:footnote>
  <w:footnote w:type="continuationSeparator" w:id="0">
    <w:p w14:paraId="42BCA772" w14:textId="77777777" w:rsidR="003C56CC" w:rsidRDefault="003C56CC" w:rsidP="003C56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6CC"/>
    <w:rsid w:val="003C56CC"/>
    <w:rsid w:val="00943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09241"/>
  <w15:chartTrackingRefBased/>
  <w15:docId w15:val="{9B5FEF39-BB6A-4E46-9A94-42B00B2D6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6CC"/>
    <w:pPr>
      <w:spacing w:after="160" w:line="256" w:lineRule="auto"/>
    </w:pPr>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C56CC"/>
    <w:rPr>
      <w:color w:val="0000FF"/>
      <w:u w:val="single"/>
    </w:rPr>
  </w:style>
  <w:style w:type="table" w:styleId="TableGrid">
    <w:name w:val="Table Grid"/>
    <w:basedOn w:val="TableNormal"/>
    <w:uiPriority w:val="39"/>
    <w:rsid w:val="003C56CC"/>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6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6CC"/>
    <w:rPr>
      <w:rFonts w:ascii="Calibri" w:eastAsia="Calibri" w:hAnsi="Calibri" w:cs="SimSun"/>
    </w:rPr>
  </w:style>
  <w:style w:type="paragraph" w:styleId="Footer">
    <w:name w:val="footer"/>
    <w:basedOn w:val="Normal"/>
    <w:link w:val="FooterChar"/>
    <w:uiPriority w:val="99"/>
    <w:unhideWhenUsed/>
    <w:rsid w:val="003C5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6CC"/>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ryanyani@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216</Words>
  <Characters>1236</Characters>
  <Application>Microsoft Office Word</Application>
  <DocSecurity>0</DocSecurity>
  <Lines>10</Lines>
  <Paragraphs>2</Paragraphs>
  <ScaleCrop>false</ScaleCrop>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2021-04-01T06:11:00Z</dcterms:created>
  <dcterms:modified xsi:type="dcterms:W3CDTF">2021-04-01T06:13:00Z</dcterms:modified>
</cp:coreProperties>
</file>